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0D61C4F0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="00FD7F7D">
        <w:rPr>
          <w:rFonts w:ascii="Arial" w:hAnsi="Arial" w:cs="Arial"/>
        </w:rPr>
        <w:t>14 czerwca</w:t>
      </w:r>
      <w:r w:rsidRPr="003E37BE">
        <w:rPr>
          <w:rFonts w:ascii="Arial" w:hAnsi="Arial" w:cs="Arial"/>
        </w:rPr>
        <w:t xml:space="preserve">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7503D65D" w14:textId="77777777" w:rsidR="003E37BE" w:rsidRPr="003E37BE" w:rsidRDefault="003E37BE" w:rsidP="003E37BE">
      <w:pPr>
        <w:pStyle w:val="p"/>
        <w:spacing w:line="360" w:lineRule="auto"/>
        <w:ind w:left="360"/>
        <w:jc w:val="center"/>
        <w:rPr>
          <w:rFonts w:ascii="Arial" w:hAnsi="Arial" w:cs="Arial"/>
          <w:bCs/>
        </w:rPr>
      </w:pPr>
      <w:r w:rsidRPr="003E37BE">
        <w:rPr>
          <w:rFonts w:ascii="Arial" w:hAnsi="Arial" w:cs="Arial"/>
          <w:b/>
          <w:bCs/>
        </w:rPr>
        <w:t>Poznański Ośrodek Specjalistycznych Usług Medycznych</w:t>
      </w:r>
    </w:p>
    <w:p w14:paraId="2F439FC1" w14:textId="77777777" w:rsidR="003E37BE" w:rsidRPr="003E37BE" w:rsidRDefault="003E37BE" w:rsidP="003E37BE">
      <w:pPr>
        <w:pStyle w:val="p"/>
        <w:spacing w:line="360" w:lineRule="auto"/>
        <w:jc w:val="center"/>
        <w:rPr>
          <w:rFonts w:ascii="Arial" w:hAnsi="Arial" w:cs="Arial"/>
        </w:rPr>
      </w:pPr>
      <w:r w:rsidRPr="003E37BE">
        <w:rPr>
          <w:rStyle w:val="bold"/>
          <w:rFonts w:ascii="Arial" w:hAnsi="Arial" w:cs="Arial"/>
        </w:rPr>
        <w:t xml:space="preserve">Znak sprawy: </w:t>
      </w:r>
      <w:r w:rsidRPr="003E37BE">
        <w:rPr>
          <w:rFonts w:ascii="Arial" w:eastAsia="Times New Roman" w:hAnsi="Arial" w:cs="Arial"/>
          <w:b/>
          <w:bCs/>
        </w:rPr>
        <w:t>ZPnr2/2022</w:t>
      </w:r>
    </w:p>
    <w:p w14:paraId="50546D3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51EF3A2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61972CE8" w14:textId="4674A136" w:rsidR="003E37BE" w:rsidRPr="003E37BE" w:rsidRDefault="003E37BE" w:rsidP="003E37BE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3E37BE">
        <w:rPr>
          <w:rFonts w:ascii="Arial" w:hAnsi="Arial" w:cs="Arial"/>
        </w:rPr>
        <w:t>Dotyczy: Postępowania o udzielenie zamówienia publicznego pn.</w:t>
      </w:r>
      <w:r w:rsidRPr="003E37BE">
        <w:rPr>
          <w:rFonts w:ascii="Arial" w:hAnsi="Arial" w:cs="Arial"/>
          <w:b/>
        </w:rPr>
        <w:t xml:space="preserve"> </w:t>
      </w:r>
      <w:r w:rsidRPr="003E37BE">
        <w:rPr>
          <w:rFonts w:ascii="Arial" w:hAnsi="Arial" w:cs="Arial"/>
          <w:b/>
          <w:i/>
          <w:iCs/>
        </w:rPr>
        <w:t>„</w:t>
      </w:r>
      <w:r w:rsidRPr="003E37BE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Poznaniu” </w:t>
      </w:r>
      <w:r w:rsidRPr="00FD7F7D">
        <w:rPr>
          <w:rFonts w:ascii="Arial" w:eastAsia="Times New Roman" w:hAnsi="Arial" w:cs="Arial"/>
          <w:bCs/>
        </w:rPr>
        <w:t xml:space="preserve">(cz. </w:t>
      </w:r>
      <w:r w:rsidR="00FD7F7D" w:rsidRPr="00FD7F7D">
        <w:rPr>
          <w:rFonts w:ascii="Arial" w:eastAsia="Times New Roman" w:hAnsi="Arial" w:cs="Arial"/>
          <w:bCs/>
        </w:rPr>
        <w:t>8</w:t>
      </w:r>
      <w:r w:rsidRPr="00FD7F7D">
        <w:rPr>
          <w:rFonts w:ascii="Arial" w:eastAsia="Times New Roman" w:hAnsi="Arial" w:cs="Arial"/>
          <w:bCs/>
        </w:rPr>
        <w:t xml:space="preserve">: </w:t>
      </w:r>
      <w:r w:rsidR="00FD7F7D" w:rsidRPr="00FD7F7D">
        <w:rPr>
          <w:rFonts w:ascii="Arial" w:hAnsi="Arial" w:cs="Arial"/>
        </w:rPr>
        <w:t>dostawa aparatu do dekontaminacji pomieszczeń o kubaturze min. 150 m3 (2 szt.), bezobsługowego sprzętu do dezynfekcji powierzchni przez suchą mgłę (2 szt.), ręcznego sprzętu do dezynfekcji powierzchni przez suchą mgłę (2 szt.), aparatu do dekontaminacji pomieszczeń o kubaturze min. 100 m3 (3 szt.)</w:t>
      </w:r>
      <w:r w:rsidRPr="00FD7F7D">
        <w:rPr>
          <w:rFonts w:ascii="Arial" w:eastAsia="Times New Roman" w:hAnsi="Arial" w:cs="Arial"/>
        </w:rPr>
        <w:t>)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7C1185F" w14:textId="5CD9A982" w:rsidR="00FD7F7D" w:rsidRPr="00FD7F7D" w:rsidRDefault="00A72F2C" w:rsidP="00FD7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</w:t>
      </w:r>
      <w:proofErr w:type="spellStart"/>
      <w:r w:rsidRPr="003E37BE">
        <w:rPr>
          <w:rFonts w:ascii="Arial" w:hAnsi="Arial" w:cs="Arial"/>
        </w:rPr>
        <w:t>Pzp</w:t>
      </w:r>
      <w:proofErr w:type="spellEnd"/>
      <w:r w:rsidRPr="003E37BE">
        <w:rPr>
          <w:rFonts w:ascii="Arial" w:hAnsi="Arial" w:cs="Arial"/>
        </w:rPr>
        <w:t>” (</w:t>
      </w:r>
      <w:proofErr w:type="spellStart"/>
      <w:r w:rsidRPr="003E37BE">
        <w:rPr>
          <w:rFonts w:ascii="Arial" w:hAnsi="Arial" w:cs="Arial"/>
        </w:rPr>
        <w:t>t.j</w:t>
      </w:r>
      <w:proofErr w:type="spellEnd"/>
      <w:r w:rsidRPr="003E37BE">
        <w:rPr>
          <w:rFonts w:ascii="Arial" w:hAnsi="Arial" w:cs="Arial"/>
        </w:rPr>
        <w:t>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="00FD7F7D" w:rsidRPr="003E37BE">
        <w:rPr>
          <w:rFonts w:ascii="Arial" w:hAnsi="Arial" w:cs="Arial"/>
          <w:b/>
          <w:i/>
          <w:iCs/>
        </w:rPr>
        <w:t>„</w:t>
      </w:r>
      <w:r w:rsidR="00FD7F7D" w:rsidRPr="003E37BE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Poznaniu”</w:t>
      </w:r>
      <w:r w:rsidR="00FD7F7D">
        <w:rPr>
          <w:rFonts w:ascii="Arial" w:eastAsia="Times New Roman" w:hAnsi="Arial" w:cs="Arial"/>
          <w:bCs/>
          <w:i/>
          <w:iCs/>
        </w:rPr>
        <w:t>,</w:t>
      </w:r>
      <w:r w:rsidR="00FD7F7D" w:rsidRPr="003E37BE">
        <w:rPr>
          <w:rFonts w:ascii="Arial" w:eastAsia="Times New Roman" w:hAnsi="Arial" w:cs="Arial"/>
          <w:bCs/>
          <w:i/>
          <w:iCs/>
        </w:rPr>
        <w:t xml:space="preserve"> </w:t>
      </w:r>
      <w:r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w zakresie cz. </w:t>
      </w:r>
      <w:r w:rsidR="00FD7F7D">
        <w:rPr>
          <w:rFonts w:ascii="Arial" w:hAnsi="Arial" w:cs="Arial"/>
        </w:rPr>
        <w:t>8</w:t>
      </w:r>
      <w:r w:rsidR="003E37BE" w:rsidRPr="003E37BE">
        <w:rPr>
          <w:rFonts w:ascii="Arial" w:hAnsi="Arial" w:cs="Arial"/>
        </w:rPr>
        <w:t xml:space="preserve"> zamówienia obejmującej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dostawę </w:t>
      </w:r>
      <w:r w:rsidR="00FD7F7D" w:rsidRPr="00FD7F7D">
        <w:rPr>
          <w:rFonts w:ascii="Arial" w:hAnsi="Arial" w:cs="Arial"/>
        </w:rPr>
        <w:t>aparatu do dekontaminacji pomieszczeń o kubaturze min. 150 m3 (2 szt.), bezobsługowego sprzętu do dezynfekcji powierzchni przez suchą mgłę (2 szt.), ręcznego sprzętu do dezynfekcji powierzchni przez suchą mgłę (2 szt.)</w:t>
      </w:r>
      <w:r w:rsidR="00FD7F7D">
        <w:rPr>
          <w:rFonts w:ascii="Arial" w:hAnsi="Arial" w:cs="Arial"/>
        </w:rPr>
        <w:t xml:space="preserve"> oraz </w:t>
      </w:r>
      <w:r w:rsidR="00FD7F7D" w:rsidRPr="00FD7F7D">
        <w:rPr>
          <w:rFonts w:ascii="Arial" w:hAnsi="Arial" w:cs="Arial"/>
        </w:rPr>
        <w:t>aparatu do dekontaminacji pomieszczeń o kubaturze min. 100 m3 (3 szt.)</w:t>
      </w:r>
      <w:r w:rsidR="00FD7F7D">
        <w:rPr>
          <w:rFonts w:ascii="Arial" w:hAnsi="Arial" w:cs="Arial"/>
        </w:rPr>
        <w:t>,</w:t>
      </w:r>
      <w:bookmarkStart w:id="0" w:name="_GoBack"/>
      <w:bookmarkEnd w:id="0"/>
      <w:r w:rsidR="00FD7F7D">
        <w:rPr>
          <w:rFonts w:ascii="Arial" w:hAnsi="Arial" w:cs="Arial"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proofErr w:type="spellStart"/>
      <w:r w:rsidR="00FD7F7D" w:rsidRPr="00511979">
        <w:rPr>
          <w:rFonts w:ascii="Arial" w:hAnsi="Arial" w:cs="Arial"/>
          <w:b/>
          <w:bCs/>
        </w:rPr>
        <w:t>Meditech</w:t>
      </w:r>
      <w:proofErr w:type="spellEnd"/>
      <w:r w:rsidR="00FD7F7D" w:rsidRPr="00511979">
        <w:rPr>
          <w:rFonts w:ascii="Arial" w:hAnsi="Arial" w:cs="Arial"/>
          <w:b/>
          <w:bCs/>
        </w:rPr>
        <w:t xml:space="preserve"> X-Ray </w:t>
      </w:r>
      <w:r w:rsidR="003E37BE" w:rsidRPr="003E37BE">
        <w:rPr>
          <w:rFonts w:ascii="Arial" w:eastAsiaTheme="minorHAnsi" w:hAnsi="Arial" w:cs="Arial"/>
          <w:b/>
          <w:bCs/>
          <w:lang w:eastAsia="en-US"/>
        </w:rPr>
        <w:t xml:space="preserve">SP. Z O.O., </w:t>
      </w:r>
      <w:r w:rsidR="00FD7F7D" w:rsidRPr="00FD7F7D">
        <w:rPr>
          <w:rFonts w:ascii="Arial" w:eastAsia="Times New Roman" w:hAnsi="Arial" w:cs="Arial"/>
          <w:b/>
          <w:bCs/>
        </w:rPr>
        <w:t xml:space="preserve"> ul. </w:t>
      </w:r>
      <w:proofErr w:type="spellStart"/>
      <w:r w:rsidR="00FD7F7D" w:rsidRPr="00FD7F7D">
        <w:rPr>
          <w:rFonts w:ascii="Arial" w:eastAsia="Times New Roman" w:hAnsi="Arial" w:cs="Arial"/>
          <w:b/>
          <w:bCs/>
        </w:rPr>
        <w:t>Wirowska</w:t>
      </w:r>
      <w:proofErr w:type="spellEnd"/>
      <w:r w:rsidR="00FD7F7D" w:rsidRPr="00FD7F7D">
        <w:rPr>
          <w:rFonts w:ascii="Arial" w:eastAsia="Times New Roman" w:hAnsi="Arial" w:cs="Arial"/>
          <w:b/>
          <w:bCs/>
        </w:rPr>
        <w:t xml:space="preserve"> 6, 62-052 Komorniki</w:t>
      </w:r>
      <w:r w:rsidR="00FD7F7D">
        <w:rPr>
          <w:rFonts w:ascii="Arial" w:eastAsia="Times New Roman" w:hAnsi="Arial" w:cs="Arial"/>
          <w:b/>
          <w:bCs/>
        </w:rPr>
        <w:t>.</w:t>
      </w:r>
    </w:p>
    <w:p w14:paraId="69D7A876" w14:textId="77777777" w:rsidR="00FD7F7D" w:rsidRPr="003E37BE" w:rsidRDefault="00FD7F7D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251CE7D2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3E37BE" w:rsidRPr="003E37BE">
        <w:rPr>
          <w:rFonts w:ascii="Arial" w:hAnsi="Arial" w:cs="Arial"/>
          <w:b/>
          <w:color w:val="000000"/>
        </w:rPr>
        <w:t>10</w:t>
      </w:r>
      <w:r w:rsidRPr="003E37BE">
        <w:rPr>
          <w:rFonts w:ascii="Arial" w:hAnsi="Arial" w:cs="Arial"/>
          <w:b/>
          <w:color w:val="000000"/>
        </w:rPr>
        <w:t>0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3E37BE" w:rsidRPr="003E37BE">
        <w:rPr>
          <w:rFonts w:ascii="Arial" w:hAnsi="Arial" w:cs="Arial"/>
          <w:color w:val="000000"/>
        </w:rPr>
        <w:t>10</w:t>
      </w:r>
      <w:r w:rsidRPr="003E37BE">
        <w:rPr>
          <w:rFonts w:ascii="Arial" w:hAnsi="Arial" w:cs="Arial"/>
          <w:color w:val="000000"/>
        </w:rPr>
        <w:t>0%).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4B6AFEAE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lastRenderedPageBreak/>
        <w:t xml:space="preserve">Jednocześnie Zamawiający informuje, iż w przedmiotowym postępowaniu </w:t>
      </w:r>
      <w:r w:rsidR="003E37BE" w:rsidRPr="003E37BE">
        <w:rPr>
          <w:rFonts w:ascii="Arial" w:hAnsi="Arial" w:cs="Arial"/>
          <w:color w:val="000000"/>
        </w:rPr>
        <w:t xml:space="preserve">w zakresie cz. </w:t>
      </w:r>
      <w:r w:rsidR="00FD7F7D">
        <w:rPr>
          <w:rFonts w:ascii="Arial" w:hAnsi="Arial" w:cs="Arial"/>
          <w:color w:val="000000"/>
        </w:rPr>
        <w:t>8</w:t>
      </w:r>
      <w:r w:rsidR="003E37BE" w:rsidRPr="003E37BE">
        <w:rPr>
          <w:rFonts w:ascii="Arial" w:hAnsi="Arial" w:cs="Arial"/>
          <w:color w:val="000000"/>
        </w:rPr>
        <w:t xml:space="preserve"> zamówienia </w:t>
      </w:r>
      <w:r w:rsidRPr="003E37BE">
        <w:rPr>
          <w:rFonts w:ascii="Arial" w:hAnsi="Arial" w:cs="Arial"/>
          <w:color w:val="000000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2552"/>
      </w:tblGrid>
      <w:tr w:rsidR="003E37BE" w:rsidRPr="003E37BE" w14:paraId="3B7DF577" w14:textId="77777777" w:rsidTr="003E37B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77777777" w:rsidR="003E37BE" w:rsidRPr="003E37BE" w:rsidRDefault="003E37BE" w:rsidP="003E37BE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3E37BE" w:rsidRPr="003E37BE" w14:paraId="67E53D05" w14:textId="77777777" w:rsidTr="003E37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7D868" w14:textId="641A372B" w:rsidR="003E37BE" w:rsidRPr="003E37BE" w:rsidRDefault="00FD7F7D" w:rsidP="003E37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511979">
              <w:rPr>
                <w:rFonts w:ascii="Arial" w:hAnsi="Arial" w:cs="Arial"/>
                <w:b/>
                <w:bCs/>
              </w:rPr>
              <w:t>Meditech</w:t>
            </w:r>
            <w:proofErr w:type="spellEnd"/>
            <w:r w:rsidRPr="00511979">
              <w:rPr>
                <w:rFonts w:ascii="Arial" w:hAnsi="Arial" w:cs="Arial"/>
                <w:b/>
                <w:bCs/>
              </w:rPr>
              <w:t xml:space="preserve"> X-Ray</w:t>
            </w:r>
            <w:r w:rsidR="003E37BE" w:rsidRPr="003E37BE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SP. Z O.O.</w:t>
            </w:r>
          </w:p>
          <w:p w14:paraId="00FB5F77" w14:textId="3DC25A81" w:rsidR="003E37BE" w:rsidRPr="00FD7F7D" w:rsidRDefault="00FD7F7D" w:rsidP="003E37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D7F7D">
              <w:rPr>
                <w:rFonts w:ascii="Arial" w:eastAsia="Times New Roman" w:hAnsi="Arial" w:cs="Arial"/>
              </w:rPr>
              <w:t xml:space="preserve">ul. </w:t>
            </w:r>
            <w:proofErr w:type="spellStart"/>
            <w:r w:rsidRPr="00FD7F7D">
              <w:rPr>
                <w:rFonts w:ascii="Arial" w:eastAsia="Times New Roman" w:hAnsi="Arial" w:cs="Arial"/>
              </w:rPr>
              <w:t>Wirowska</w:t>
            </w:r>
            <w:proofErr w:type="spellEnd"/>
            <w:r w:rsidRPr="00FD7F7D">
              <w:rPr>
                <w:rFonts w:ascii="Arial" w:eastAsia="Times New Roman" w:hAnsi="Arial" w:cs="Arial"/>
              </w:rPr>
              <w:t xml:space="preserve"> 6, 62-052 Komorniki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16E3F047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1438022E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5853" w14:textId="77777777" w:rsidR="0061413E" w:rsidRDefault="0061413E" w:rsidP="004F3B4C">
      <w:pPr>
        <w:spacing w:after="0" w:line="240" w:lineRule="auto"/>
      </w:pPr>
      <w:r>
        <w:separator/>
      </w:r>
    </w:p>
  </w:endnote>
  <w:endnote w:type="continuationSeparator" w:id="0">
    <w:p w14:paraId="14B18D7D" w14:textId="77777777" w:rsidR="0061413E" w:rsidRDefault="0061413E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7489A" w14:textId="77777777" w:rsidR="0061413E" w:rsidRDefault="0061413E" w:rsidP="004F3B4C">
      <w:pPr>
        <w:spacing w:after="0" w:line="240" w:lineRule="auto"/>
      </w:pPr>
      <w:r>
        <w:separator/>
      </w:r>
    </w:p>
  </w:footnote>
  <w:footnote w:type="continuationSeparator" w:id="0">
    <w:p w14:paraId="77998B6D" w14:textId="77777777" w:rsidR="0061413E" w:rsidRDefault="0061413E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26EA3"/>
    <w:rsid w:val="0017090A"/>
    <w:rsid w:val="001F4170"/>
    <w:rsid w:val="002330E2"/>
    <w:rsid w:val="00276577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1413E"/>
    <w:rsid w:val="006519DF"/>
    <w:rsid w:val="00656C4D"/>
    <w:rsid w:val="00664AC5"/>
    <w:rsid w:val="0067522E"/>
    <w:rsid w:val="006C1C87"/>
    <w:rsid w:val="006E7A54"/>
    <w:rsid w:val="00700407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72F2C"/>
    <w:rsid w:val="00AB1C22"/>
    <w:rsid w:val="00AE49FB"/>
    <w:rsid w:val="00AF119B"/>
    <w:rsid w:val="00B446DF"/>
    <w:rsid w:val="00B64DFB"/>
    <w:rsid w:val="00BA2E7E"/>
    <w:rsid w:val="00C216DE"/>
    <w:rsid w:val="00CB1CD3"/>
    <w:rsid w:val="00CE36F4"/>
    <w:rsid w:val="00D20E0E"/>
    <w:rsid w:val="00D943C3"/>
    <w:rsid w:val="00DD708F"/>
    <w:rsid w:val="00E129C4"/>
    <w:rsid w:val="00E23F98"/>
    <w:rsid w:val="00E372E8"/>
    <w:rsid w:val="00EA0B81"/>
    <w:rsid w:val="00EA1BA4"/>
    <w:rsid w:val="00EC4645"/>
    <w:rsid w:val="00F31786"/>
    <w:rsid w:val="00F3487B"/>
    <w:rsid w:val="00F63C92"/>
    <w:rsid w:val="00F90F18"/>
    <w:rsid w:val="00FD7F7D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41</cp:revision>
  <dcterms:created xsi:type="dcterms:W3CDTF">2022-04-12T08:30:00Z</dcterms:created>
  <dcterms:modified xsi:type="dcterms:W3CDTF">2022-06-13T13:24:00Z</dcterms:modified>
</cp:coreProperties>
</file>